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FC" w:rsidRPr="001C5FB4" w:rsidRDefault="00E223FC" w:rsidP="00E223FC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  <w:t xml:space="preserve">Lesson plan </w:t>
      </w:r>
      <w:r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  <w:t>2025-26</w:t>
      </w:r>
    </w:p>
    <w:p w:rsidR="00E223FC" w:rsidRPr="001C5FB4" w:rsidRDefault="00E223FC" w:rsidP="00E223FC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E223FC" w:rsidRPr="001C5FB4" w:rsidRDefault="00E223FC" w:rsidP="00E223FC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Name: </w:t>
      </w:r>
      <w:proofErr w:type="spellStart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Dr.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Gaurav </w:t>
      </w:r>
      <w:proofErr w:type="spellStart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Sisodia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</w:t>
      </w:r>
    </w:p>
    <w:p w:rsidR="00E223FC" w:rsidRPr="001C5FB4" w:rsidRDefault="00E223FC" w:rsidP="00E223FC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Class: B.com V</w:t>
      </w:r>
      <w:r w:rsidRPr="001C5FB4">
        <w:rPr>
          <w:rFonts w:ascii="Calibri" w:eastAsia="Times New Roman" w:hAnsi="Calibri" w:cs="Calibri"/>
          <w:kern w:val="2"/>
          <w:sz w:val="36"/>
          <w:szCs w:val="36"/>
          <w:vertAlign w:val="superscript"/>
          <w:lang w:val="en-GB"/>
          <w14:ligatures w14:val="standardContextual"/>
        </w:rPr>
        <w:t>th</w:t>
      </w: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Semester </w:t>
      </w:r>
    </w:p>
    <w:p w:rsidR="00E223FC" w:rsidRPr="001C5FB4" w:rsidRDefault="00E223FC" w:rsidP="00E223FC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Subject: </w:t>
      </w:r>
      <w:r w:rsidRPr="001C5FB4">
        <w:rPr>
          <w:rFonts w:ascii="Calibri" w:eastAsia="Times New Roman" w:hAnsi="Calibri" w:cs="Calibri"/>
          <w:kern w:val="2"/>
          <w:sz w:val="36"/>
          <w:szCs w:val="21"/>
          <w:lang w:val="en-GB"/>
          <w14:ligatures w14:val="standardContextual"/>
        </w:rPr>
        <w:t xml:space="preserve"> Taxation Law-I</w:t>
      </w:r>
    </w:p>
    <w:p w:rsidR="00E223FC" w:rsidRPr="001C5FB4" w:rsidRDefault="00E223FC" w:rsidP="00E223FC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321"/>
        <w:gridCol w:w="7129"/>
      </w:tblGrid>
      <w:tr w:rsidR="00E223FC" w:rsidRPr="001C5FB4" w:rsidTr="00EC5F24">
        <w:trPr>
          <w:trHeight w:val="388"/>
        </w:trPr>
        <w:tc>
          <w:tcPr>
            <w:tcW w:w="2321" w:type="dxa"/>
          </w:tcPr>
          <w:p w:rsidR="00E223FC" w:rsidRPr="001C5FB4" w:rsidRDefault="00E223FC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 w:rsidRPr="001C5FB4">
              <w:rPr>
                <w:rFonts w:ascii="Calibri" w:eastAsia="Aptos" w:hAnsi="Calibri" w:cs="Calibri"/>
                <w:sz w:val="32"/>
                <w:szCs w:val="36"/>
              </w:rPr>
              <w:t>MONTH</w:t>
            </w:r>
          </w:p>
        </w:tc>
        <w:tc>
          <w:tcPr>
            <w:tcW w:w="7129" w:type="dxa"/>
          </w:tcPr>
          <w:p w:rsidR="00E223FC" w:rsidRPr="001C5FB4" w:rsidRDefault="00E223FC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 w:rsidRPr="001C5FB4">
              <w:rPr>
                <w:rFonts w:ascii="Calibri" w:eastAsia="Aptos" w:hAnsi="Calibri" w:cs="Calibri"/>
                <w:sz w:val="32"/>
                <w:szCs w:val="36"/>
              </w:rPr>
              <w:t>TOPICS</w:t>
            </w:r>
          </w:p>
        </w:tc>
      </w:tr>
      <w:tr w:rsidR="00E223FC" w:rsidRPr="001C5FB4" w:rsidTr="00EC5F24">
        <w:trPr>
          <w:trHeight w:val="388"/>
        </w:trPr>
        <w:tc>
          <w:tcPr>
            <w:tcW w:w="2321" w:type="dxa"/>
          </w:tcPr>
          <w:p w:rsidR="00E223FC" w:rsidRPr="001C5FB4" w:rsidRDefault="00E223FC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>
              <w:rPr>
                <w:rFonts w:ascii="Calibri" w:eastAsia="Aptos" w:hAnsi="Calibri" w:cs="Calibri"/>
                <w:sz w:val="32"/>
                <w:szCs w:val="36"/>
              </w:rPr>
              <w:t>July</w:t>
            </w:r>
          </w:p>
        </w:tc>
        <w:tc>
          <w:tcPr>
            <w:tcW w:w="7129" w:type="dxa"/>
          </w:tcPr>
          <w:p w:rsidR="00E223FC" w:rsidRPr="005250F5" w:rsidRDefault="00E223FC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 w:rsidRPr="005250F5">
              <w:rPr>
                <w:rFonts w:ascii="Calibri" w:eastAsia="Aptos" w:hAnsi="Calibri" w:cs="Calibri"/>
                <w:sz w:val="32"/>
                <w:szCs w:val="32"/>
                <w:lang w:bidi="hi-IN"/>
              </w:rPr>
              <w:t>Income Tax: An introduction and Important Definitions,</w:t>
            </w:r>
          </w:p>
        </w:tc>
      </w:tr>
      <w:tr w:rsidR="00E223FC" w:rsidRPr="001C5FB4" w:rsidTr="00EC5F24">
        <w:trPr>
          <w:trHeight w:val="776"/>
        </w:trPr>
        <w:tc>
          <w:tcPr>
            <w:tcW w:w="2321" w:type="dxa"/>
          </w:tcPr>
          <w:p w:rsidR="00E223FC" w:rsidRPr="001C5FB4" w:rsidRDefault="00E223FC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August</w:t>
            </w:r>
          </w:p>
        </w:tc>
        <w:tc>
          <w:tcPr>
            <w:tcW w:w="7129" w:type="dxa"/>
          </w:tcPr>
          <w:p w:rsidR="00E223FC" w:rsidRPr="005250F5" w:rsidRDefault="00E223FC" w:rsidP="00EC5F24">
            <w:pPr>
              <w:autoSpaceDE w:val="0"/>
              <w:autoSpaceDN w:val="0"/>
              <w:adjustRightInd w:val="0"/>
              <w:jc w:val="both"/>
              <w:rPr>
                <w:rFonts w:ascii="Calibri" w:eastAsia="Aptos" w:hAnsi="Calibri" w:cs="Calibri"/>
                <w:sz w:val="32"/>
                <w:szCs w:val="32"/>
                <w:lang w:bidi="hi-IN"/>
              </w:rPr>
            </w:pPr>
            <w:r w:rsidRPr="005250F5">
              <w:rPr>
                <w:rFonts w:ascii="Calibri" w:eastAsia="Aptos" w:hAnsi="Calibri" w:cs="Calibri"/>
                <w:sz w:val="32"/>
                <w:szCs w:val="32"/>
                <w:lang w:bidi="hi-IN"/>
              </w:rPr>
              <w:t>Agriculture Income, Residential status and</w:t>
            </w:r>
          </w:p>
          <w:p w:rsidR="00E223FC" w:rsidRPr="005250F5" w:rsidRDefault="00E223FC" w:rsidP="00EC5F24">
            <w:pPr>
              <w:autoSpaceDE w:val="0"/>
              <w:autoSpaceDN w:val="0"/>
              <w:adjustRightInd w:val="0"/>
              <w:jc w:val="both"/>
              <w:rPr>
                <w:rFonts w:ascii="Calibri" w:eastAsia="Aptos" w:hAnsi="Calibri" w:cs="Calibri"/>
                <w:sz w:val="32"/>
                <w:szCs w:val="32"/>
              </w:rPr>
            </w:pPr>
            <w:r w:rsidRPr="005250F5">
              <w:rPr>
                <w:rFonts w:ascii="Calibri" w:eastAsia="Aptos" w:hAnsi="Calibri" w:cs="Calibri"/>
                <w:sz w:val="32"/>
                <w:szCs w:val="32"/>
                <w:lang w:bidi="hi-IN"/>
              </w:rPr>
              <w:t xml:space="preserve">Incidence of Tax Liability, Exempted incomes. </w:t>
            </w:r>
          </w:p>
        </w:tc>
      </w:tr>
      <w:tr w:rsidR="00E223FC" w:rsidRPr="001C5FB4" w:rsidTr="00EC5F24">
        <w:trPr>
          <w:trHeight w:val="776"/>
        </w:trPr>
        <w:tc>
          <w:tcPr>
            <w:tcW w:w="2321" w:type="dxa"/>
          </w:tcPr>
          <w:p w:rsidR="00E223FC" w:rsidRPr="001C5FB4" w:rsidRDefault="00E223FC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September </w:t>
            </w:r>
          </w:p>
        </w:tc>
        <w:tc>
          <w:tcPr>
            <w:tcW w:w="7129" w:type="dxa"/>
          </w:tcPr>
          <w:p w:rsidR="00E223FC" w:rsidRPr="005250F5" w:rsidRDefault="00E223FC" w:rsidP="00EC5F24">
            <w:pPr>
              <w:autoSpaceDE w:val="0"/>
              <w:autoSpaceDN w:val="0"/>
              <w:adjustRightInd w:val="0"/>
              <w:jc w:val="both"/>
              <w:rPr>
                <w:rFonts w:ascii="Calibri" w:eastAsia="Aptos" w:hAnsi="Calibri" w:cs="Calibri"/>
                <w:sz w:val="32"/>
                <w:szCs w:val="32"/>
                <w:lang w:bidi="hi-IN"/>
              </w:rPr>
            </w:pPr>
            <w:r w:rsidRPr="005250F5">
              <w:rPr>
                <w:rFonts w:ascii="Calibri" w:eastAsia="Aptos" w:hAnsi="Calibri" w:cs="Calibri"/>
                <w:sz w:val="32"/>
                <w:szCs w:val="32"/>
              </w:rPr>
              <w:t>Income from Salaries (including retirement benefits); Income from House property.</w:t>
            </w:r>
          </w:p>
        </w:tc>
      </w:tr>
      <w:tr w:rsidR="00E223FC" w:rsidRPr="001C5FB4" w:rsidTr="00EC5F24">
        <w:trPr>
          <w:trHeight w:val="786"/>
        </w:trPr>
        <w:tc>
          <w:tcPr>
            <w:tcW w:w="2321" w:type="dxa"/>
          </w:tcPr>
          <w:p w:rsidR="00E223FC" w:rsidRPr="001C5FB4" w:rsidRDefault="00E223FC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October</w:t>
            </w:r>
          </w:p>
        </w:tc>
        <w:tc>
          <w:tcPr>
            <w:tcW w:w="7129" w:type="dxa"/>
          </w:tcPr>
          <w:p w:rsidR="00E223FC" w:rsidRPr="005250F5" w:rsidRDefault="00E223FC" w:rsidP="00EC5F24">
            <w:pPr>
              <w:rPr>
                <w:rFonts w:ascii="Calibri" w:eastAsia="Aptos" w:hAnsi="Calibri" w:cs="Calibri"/>
                <w:sz w:val="32"/>
                <w:szCs w:val="32"/>
              </w:rPr>
            </w:pPr>
            <w:r w:rsidRPr="005250F5">
              <w:rPr>
                <w:rFonts w:ascii="Calibri" w:eastAsia="Aptos" w:hAnsi="Calibri" w:cs="Calibri"/>
                <w:sz w:val="32"/>
                <w:szCs w:val="32"/>
              </w:rPr>
              <w:t>Profits and Gains from Business or Profession; Depreciation; Capital Gains.</w:t>
            </w:r>
          </w:p>
        </w:tc>
      </w:tr>
      <w:tr w:rsidR="00E223FC" w:rsidRPr="001C5FB4" w:rsidTr="00EC5F24">
        <w:trPr>
          <w:trHeight w:val="1164"/>
        </w:trPr>
        <w:tc>
          <w:tcPr>
            <w:tcW w:w="2321" w:type="dxa"/>
          </w:tcPr>
          <w:p w:rsidR="00E223FC" w:rsidRPr="001C5FB4" w:rsidRDefault="00E223FC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November </w:t>
            </w:r>
          </w:p>
        </w:tc>
        <w:tc>
          <w:tcPr>
            <w:tcW w:w="7129" w:type="dxa"/>
          </w:tcPr>
          <w:p w:rsidR="00E223FC" w:rsidRPr="005250F5" w:rsidRDefault="00E223FC" w:rsidP="00EC5F24">
            <w:pPr>
              <w:autoSpaceDE w:val="0"/>
              <w:autoSpaceDN w:val="0"/>
              <w:adjustRightInd w:val="0"/>
              <w:rPr>
                <w:rFonts w:ascii="Calibri" w:eastAsia="Aptos" w:hAnsi="Calibri" w:cs="Calibri"/>
                <w:sz w:val="32"/>
                <w:szCs w:val="32"/>
              </w:rPr>
            </w:pPr>
            <w:r w:rsidRPr="005250F5">
              <w:rPr>
                <w:rFonts w:ascii="Calibri" w:eastAsia="Aptos" w:hAnsi="Calibri" w:cs="Calibri"/>
                <w:sz w:val="32"/>
                <w:szCs w:val="32"/>
                <w:lang w:bidi="hi-IN"/>
              </w:rPr>
              <w:t>Income from other sources, clubbing of incomes &amp; aggregation of incomes. Set off and Carry forward of Losses, Deductions to be made in computing total income.</w:t>
            </w:r>
          </w:p>
        </w:tc>
      </w:tr>
    </w:tbl>
    <w:p w:rsidR="00E223FC" w:rsidRPr="001C5FB4" w:rsidRDefault="00E223FC" w:rsidP="00E223FC">
      <w:pPr>
        <w:spacing w:line="278" w:lineRule="auto"/>
        <w:rPr>
          <w:rFonts w:ascii="Aptos" w:eastAsia="Times New Roman" w:hAnsi="Aptos" w:cs="Mangal"/>
          <w:kern w:val="2"/>
          <w:sz w:val="24"/>
          <w:szCs w:val="21"/>
          <w:lang w:val="en-GB" w:bidi="hi-IN"/>
          <w14:ligatures w14:val="standardContextual"/>
        </w:rPr>
      </w:pPr>
    </w:p>
    <w:p w:rsidR="00E223FC" w:rsidRPr="001C5FB4" w:rsidRDefault="00E223FC" w:rsidP="00E223FC">
      <w:pPr>
        <w:spacing w:line="278" w:lineRule="auto"/>
        <w:rPr>
          <w:rFonts w:ascii="Aptos" w:eastAsia="Times New Roman" w:hAnsi="Aptos" w:cs="Mangal"/>
          <w:kern w:val="2"/>
          <w:sz w:val="24"/>
          <w:szCs w:val="21"/>
          <w:lang w:val="en-GB" w:bidi="hi-IN"/>
          <w14:ligatures w14:val="standardContextual"/>
        </w:rPr>
      </w:pPr>
    </w:p>
    <w:p w:rsidR="00E223FC" w:rsidRDefault="00E223FC" w:rsidP="00744C07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E223FC" w:rsidRDefault="00E223FC" w:rsidP="00744C07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E223FC" w:rsidRDefault="00E223FC" w:rsidP="00744C07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E223FC" w:rsidRDefault="00E223FC" w:rsidP="00744C07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E223FC" w:rsidRDefault="00E223FC" w:rsidP="00744C07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744C07" w:rsidRPr="001C5FB4" w:rsidRDefault="00744C07" w:rsidP="00744C07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  <w:r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  <w:lastRenderedPageBreak/>
        <w:t>Lesson plan 2025-26</w:t>
      </w:r>
    </w:p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p w:rsidR="00744C07" w:rsidRPr="001C5FB4" w:rsidRDefault="00744C07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Name: </w:t>
      </w:r>
      <w:proofErr w:type="spellStart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D</w:t>
      </w: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r.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Gaurav </w:t>
      </w:r>
      <w:proofErr w:type="spellStart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Sisodia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</w:t>
      </w:r>
    </w:p>
    <w:p w:rsidR="00744C07" w:rsidRPr="001C5FB4" w:rsidRDefault="00744C07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Class: B.com III</w:t>
      </w: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Semester </w:t>
      </w:r>
    </w:p>
    <w:p w:rsidR="00744C07" w:rsidRPr="001C5FB4" w:rsidRDefault="00744C07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Subject: </w:t>
      </w:r>
      <w:r>
        <w:rPr>
          <w:rFonts w:cstheme="minorHAnsi"/>
          <w:bCs/>
          <w:sz w:val="36"/>
          <w:szCs w:val="36"/>
        </w:rPr>
        <w:t>Business Law</w:t>
      </w:r>
    </w:p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1913"/>
        <w:gridCol w:w="7357"/>
      </w:tblGrid>
      <w:tr w:rsidR="00744C07" w:rsidRPr="001C5FB4" w:rsidTr="00EC5F24">
        <w:tc>
          <w:tcPr>
            <w:tcW w:w="1913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MONTH</w:t>
            </w:r>
          </w:p>
        </w:tc>
        <w:tc>
          <w:tcPr>
            <w:tcW w:w="7357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TOPICS</w:t>
            </w:r>
          </w:p>
        </w:tc>
      </w:tr>
      <w:tr w:rsidR="00744C07" w:rsidRPr="001C5FB4" w:rsidTr="00FE0EC1">
        <w:trPr>
          <w:trHeight w:val="944"/>
        </w:trPr>
        <w:tc>
          <w:tcPr>
            <w:tcW w:w="1913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>
              <w:rPr>
                <w:rFonts w:ascii="Aptos" w:eastAsia="Aptos" w:hAnsi="Aptos" w:cs="Mangal"/>
                <w:sz w:val="30"/>
                <w:szCs w:val="36"/>
              </w:rPr>
              <w:t>July</w:t>
            </w:r>
          </w:p>
        </w:tc>
        <w:tc>
          <w:tcPr>
            <w:tcW w:w="7357" w:type="dxa"/>
          </w:tcPr>
          <w:p w:rsidR="00744C07" w:rsidRPr="00FE0EC1" w:rsidRDefault="00E77334" w:rsidP="00E7733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 xml:space="preserve">The Indian Contract Act 1872: Contract – meaning, characteristics and kinds, </w:t>
            </w:r>
          </w:p>
        </w:tc>
      </w:tr>
      <w:tr w:rsidR="00744C07" w:rsidRPr="001C5FB4" w:rsidTr="00EC5F24">
        <w:trPr>
          <w:trHeight w:val="1079"/>
        </w:trPr>
        <w:tc>
          <w:tcPr>
            <w:tcW w:w="1913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August</w:t>
            </w:r>
          </w:p>
        </w:tc>
        <w:tc>
          <w:tcPr>
            <w:tcW w:w="7357" w:type="dxa"/>
          </w:tcPr>
          <w:p w:rsidR="00E77334" w:rsidRPr="00FE0EC1" w:rsidRDefault="00E77334" w:rsidP="00E77334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32"/>
                <w:szCs w:val="32"/>
              </w:rPr>
            </w:pP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Essentials of valid contract – offer and acceptance, consideration, contractual capacity, free consent,</w:t>
            </w:r>
          </w:p>
          <w:p w:rsidR="00744C07" w:rsidRPr="00FE0EC1" w:rsidRDefault="00E77334" w:rsidP="00E77334">
            <w:pPr>
              <w:rPr>
                <w:rFonts w:ascii="Calibri" w:eastAsia="Aptos" w:hAnsi="Calibri" w:cs="Calibri"/>
                <w:sz w:val="32"/>
                <w:szCs w:val="32"/>
              </w:rPr>
            </w:pPr>
            <w:proofErr w:type="gramStart"/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legality</w:t>
            </w:r>
            <w:proofErr w:type="gramEnd"/>
            <w:r w:rsidRPr="00FE0EC1">
              <w:rPr>
                <w:rFonts w:ascii="Calibri" w:eastAsia="CIDFont+F4" w:hAnsi="Calibri" w:cs="Calibri"/>
                <w:sz w:val="32"/>
                <w:szCs w:val="32"/>
              </w:rPr>
              <w:t xml:space="preserve"> of objects.</w:t>
            </w:r>
          </w:p>
        </w:tc>
      </w:tr>
      <w:tr w:rsidR="00744C07" w:rsidRPr="001C5FB4" w:rsidTr="00EC5F24">
        <w:trPr>
          <w:trHeight w:val="1151"/>
        </w:trPr>
        <w:tc>
          <w:tcPr>
            <w:tcW w:w="1913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September </w:t>
            </w:r>
          </w:p>
        </w:tc>
        <w:tc>
          <w:tcPr>
            <w:tcW w:w="7357" w:type="dxa"/>
          </w:tcPr>
          <w:p w:rsidR="00E77334" w:rsidRPr="00FE0EC1" w:rsidRDefault="00E77334" w:rsidP="00E77334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32"/>
                <w:szCs w:val="32"/>
              </w:rPr>
            </w:pP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Contract of Indemnity and Guarantee, Contract of Bailment, Contract of Agency. Consumer</w:t>
            </w:r>
          </w:p>
          <w:p w:rsidR="00744C07" w:rsidRPr="00FE0EC1" w:rsidRDefault="00E77334" w:rsidP="00E77334">
            <w:pPr>
              <w:autoSpaceDE w:val="0"/>
              <w:autoSpaceDN w:val="0"/>
              <w:adjustRightInd w:val="0"/>
              <w:rPr>
                <w:rFonts w:ascii="Calibri" w:eastAsia="Aptos" w:hAnsi="Calibri" w:cs="Calibri"/>
                <w:sz w:val="32"/>
                <w:szCs w:val="32"/>
              </w:rPr>
            </w:pP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Protection Act.</w:t>
            </w:r>
          </w:p>
        </w:tc>
      </w:tr>
      <w:tr w:rsidR="00744C07" w:rsidRPr="001C5FB4" w:rsidTr="00EC5F24">
        <w:trPr>
          <w:trHeight w:val="1070"/>
        </w:trPr>
        <w:tc>
          <w:tcPr>
            <w:tcW w:w="1913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October</w:t>
            </w:r>
          </w:p>
        </w:tc>
        <w:tc>
          <w:tcPr>
            <w:tcW w:w="7357" w:type="dxa"/>
          </w:tcPr>
          <w:p w:rsidR="00744C07" w:rsidRPr="00FE0EC1" w:rsidRDefault="00E77334" w:rsidP="00FE0EC1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32"/>
                <w:szCs w:val="32"/>
              </w:rPr>
            </w:pP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Sale of Goods Act 1930. Contract of sale, meaning and difference between sale and</w:t>
            </w:r>
            <w:r w:rsidR="00FE0EC1">
              <w:rPr>
                <w:rFonts w:ascii="Calibri" w:eastAsia="CIDFont+F4" w:hAnsi="Calibri" w:cs="Calibri"/>
                <w:sz w:val="32"/>
                <w:szCs w:val="32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agreement to sell. Conditions and warranties Transfer of ownership in goods including sale</w:t>
            </w:r>
            <w:r w:rsidR="00FE0EC1">
              <w:rPr>
                <w:rFonts w:ascii="Calibri" w:eastAsia="CIDFont+F4" w:hAnsi="Calibri" w:cs="Calibri"/>
                <w:sz w:val="32"/>
                <w:szCs w:val="32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by non-owners, Performance of contract of sale, unpaid seller – meaning and rights of an</w:t>
            </w:r>
            <w:r w:rsidR="00FE0EC1">
              <w:rPr>
                <w:rFonts w:ascii="Calibri" w:eastAsia="CIDFont+F4" w:hAnsi="Calibri" w:cs="Calibri"/>
                <w:sz w:val="32"/>
                <w:szCs w:val="32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unpaid seller against the goods and the buyer.</w:t>
            </w:r>
          </w:p>
        </w:tc>
      </w:tr>
      <w:tr w:rsidR="00744C07" w:rsidRPr="001C5FB4" w:rsidTr="00EC5F24">
        <w:trPr>
          <w:trHeight w:val="710"/>
        </w:trPr>
        <w:tc>
          <w:tcPr>
            <w:tcW w:w="1913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November </w:t>
            </w:r>
          </w:p>
        </w:tc>
        <w:tc>
          <w:tcPr>
            <w:tcW w:w="7357" w:type="dxa"/>
          </w:tcPr>
          <w:p w:rsidR="00744C07" w:rsidRPr="00FE0EC1" w:rsidRDefault="00E77334" w:rsidP="00EC5F24">
            <w:pPr>
              <w:rPr>
                <w:rFonts w:ascii="Calibri" w:eastAsia="Aptos" w:hAnsi="Calibri" w:cs="Calibri"/>
                <w:sz w:val="32"/>
                <w:szCs w:val="32"/>
              </w:rPr>
            </w:pPr>
            <w:r w:rsidRPr="00FE0EC1">
              <w:rPr>
                <w:rFonts w:ascii="Calibri" w:eastAsia="CIDFont+F4" w:hAnsi="Calibri" w:cs="Calibri"/>
                <w:sz w:val="32"/>
                <w:szCs w:val="32"/>
              </w:rPr>
              <w:t>The Foreign Exchange Management Act: Salient features of FEMA.</w:t>
            </w:r>
          </w:p>
        </w:tc>
      </w:tr>
    </w:tbl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  <w:tab/>
      </w:r>
    </w:p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p w:rsidR="00E223FC" w:rsidRDefault="00E223FC" w:rsidP="00C81370">
      <w:pPr>
        <w:spacing w:after="0" w:line="278" w:lineRule="auto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744C07" w:rsidRPr="00C81370" w:rsidRDefault="00E77334" w:rsidP="00C81370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  <w:t xml:space="preserve">Lesson plan </w:t>
      </w:r>
      <w:r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  <w:t>2025-26</w:t>
      </w:r>
    </w:p>
    <w:p w:rsidR="00744C07" w:rsidRPr="001C5FB4" w:rsidRDefault="00744C07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Name: </w:t>
      </w:r>
      <w:proofErr w:type="spellStart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Dr.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Gaurav </w:t>
      </w:r>
      <w:proofErr w:type="spellStart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Sisodia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</w:t>
      </w:r>
    </w:p>
    <w:p w:rsidR="00744C07" w:rsidRPr="001C5FB4" w:rsidRDefault="00744C07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Class: </w:t>
      </w:r>
      <w:r w:rsidR="00E223FC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B.com III</w:t>
      </w:r>
      <w:r w:rsidR="00E223FC"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Semester</w:t>
      </w:r>
    </w:p>
    <w:p w:rsidR="00E77334" w:rsidRPr="003E04BB" w:rsidRDefault="00744C07" w:rsidP="00C81370">
      <w:pPr>
        <w:spacing w:after="0" w:line="240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Subject: </w:t>
      </w:r>
      <w:r w:rsidR="00E223FC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Cyber Security and Artificial Intelligence in Commerce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1800"/>
        <w:gridCol w:w="7470"/>
      </w:tblGrid>
      <w:tr w:rsidR="00744C07" w:rsidRPr="001C5FB4" w:rsidTr="00EC5F24">
        <w:tc>
          <w:tcPr>
            <w:tcW w:w="1800" w:type="dxa"/>
          </w:tcPr>
          <w:p w:rsidR="00744C07" w:rsidRPr="001C5FB4" w:rsidRDefault="00744C07" w:rsidP="00C81370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MONTH</w:t>
            </w:r>
          </w:p>
        </w:tc>
        <w:tc>
          <w:tcPr>
            <w:tcW w:w="7470" w:type="dxa"/>
          </w:tcPr>
          <w:p w:rsidR="00744C07" w:rsidRPr="001C5FB4" w:rsidRDefault="00744C07" w:rsidP="00C81370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TOPICS</w:t>
            </w:r>
          </w:p>
        </w:tc>
      </w:tr>
      <w:tr w:rsidR="00744C07" w:rsidRPr="001C5FB4" w:rsidTr="00C81370">
        <w:trPr>
          <w:trHeight w:val="629"/>
        </w:trPr>
        <w:tc>
          <w:tcPr>
            <w:tcW w:w="1800" w:type="dxa"/>
          </w:tcPr>
          <w:p w:rsidR="00744C07" w:rsidRPr="001C5FB4" w:rsidRDefault="00744C07" w:rsidP="00C81370">
            <w:pPr>
              <w:rPr>
                <w:rFonts w:ascii="Aptos" w:eastAsia="Aptos" w:hAnsi="Aptos" w:cs="Mangal"/>
                <w:sz w:val="30"/>
                <w:szCs w:val="36"/>
              </w:rPr>
            </w:pPr>
            <w:r>
              <w:rPr>
                <w:rFonts w:ascii="Aptos" w:eastAsia="Aptos" w:hAnsi="Aptos" w:cs="Mangal"/>
                <w:sz w:val="30"/>
                <w:szCs w:val="36"/>
              </w:rPr>
              <w:t>July</w:t>
            </w:r>
          </w:p>
        </w:tc>
        <w:tc>
          <w:tcPr>
            <w:tcW w:w="7470" w:type="dxa"/>
          </w:tcPr>
          <w:p w:rsidR="00744C07" w:rsidRPr="00FE0EC1" w:rsidRDefault="00C81370" w:rsidP="00FE0EC1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2" w:hAnsi="Calibri" w:cs="Calibri"/>
                <w:sz w:val="26"/>
                <w:szCs w:val="26"/>
              </w:rPr>
              <w:t xml:space="preserve">Overview of Cyber </w:t>
            </w:r>
            <w:proofErr w:type="spellStart"/>
            <w:r w:rsidRPr="00FE0EC1">
              <w:rPr>
                <w:rFonts w:ascii="Calibri" w:eastAsia="CIDFont+F2" w:hAnsi="Calibri" w:cs="Calibri"/>
                <w:sz w:val="26"/>
                <w:szCs w:val="26"/>
              </w:rPr>
              <w:t>security</w:t>
            </w:r>
            <w:proofErr w:type="gramStart"/>
            <w:r w:rsidRPr="00FE0EC1">
              <w:rPr>
                <w:rFonts w:ascii="Calibri" w:eastAsia="CIDFont+F2" w:hAnsi="Calibri" w:cs="Calibri"/>
                <w:sz w:val="26"/>
                <w:szCs w:val="26"/>
              </w:rPr>
              <w:t>: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Concept</w:t>
            </w:r>
            <w:proofErr w:type="spellEnd"/>
            <w:proofErr w:type="gramEnd"/>
            <w:r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of Cyber Security, Significance and its Fundamentals.</w:t>
            </w:r>
          </w:p>
        </w:tc>
      </w:tr>
      <w:tr w:rsidR="00744C07" w:rsidRPr="001C5FB4" w:rsidTr="00EC5F24">
        <w:trPr>
          <w:trHeight w:val="1088"/>
        </w:trPr>
        <w:tc>
          <w:tcPr>
            <w:tcW w:w="1800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August</w:t>
            </w:r>
          </w:p>
        </w:tc>
        <w:tc>
          <w:tcPr>
            <w:tcW w:w="7470" w:type="dxa"/>
          </w:tcPr>
          <w:p w:rsidR="00C81370" w:rsidRPr="00FE0EC1" w:rsidRDefault="00C81370" w:rsidP="00C81370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Cyber Security Techniques: Cryptography, Encryption, Firewalls, Passwords, Privacy,</w:t>
            </w:r>
          </w:p>
          <w:p w:rsidR="00744C07" w:rsidRPr="00FE0EC1" w:rsidRDefault="00C81370" w:rsidP="00C81370">
            <w:pPr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Digital Signatures. Issues and Challenges in Cyber Security.</w:t>
            </w:r>
          </w:p>
          <w:p w:rsidR="00C81370" w:rsidRPr="00FE0EC1" w:rsidRDefault="00C81370" w:rsidP="00FE0EC1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2" w:hAnsi="Calibri" w:cs="Calibri"/>
                <w:sz w:val="26"/>
                <w:szCs w:val="26"/>
              </w:rPr>
              <w:t xml:space="preserve">Regulations: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Cyber Security Policies, Major Regulating Bodies, Compliance Requirements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and Recent Government Initiatives in India.</w:t>
            </w:r>
          </w:p>
        </w:tc>
      </w:tr>
      <w:tr w:rsidR="00744C07" w:rsidRPr="001C5FB4" w:rsidTr="00EC5F24">
        <w:trPr>
          <w:trHeight w:val="1430"/>
        </w:trPr>
        <w:tc>
          <w:tcPr>
            <w:tcW w:w="1800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September </w:t>
            </w:r>
          </w:p>
        </w:tc>
        <w:tc>
          <w:tcPr>
            <w:tcW w:w="7470" w:type="dxa"/>
          </w:tcPr>
          <w:p w:rsidR="00C81370" w:rsidRPr="00FE0EC1" w:rsidRDefault="00C81370" w:rsidP="00C81370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2" w:hAnsi="Calibri" w:cs="Calibri"/>
                <w:sz w:val="26"/>
                <w:szCs w:val="26"/>
              </w:rPr>
              <w:t xml:space="preserve">Overview of Cyber Crime: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Concept of Cyber Crime, Definition of Cyber-Crime under </w:t>
            </w:r>
            <w:proofErr w:type="gramStart"/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IT</w:t>
            </w:r>
            <w:proofErr w:type="gramEnd"/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Act 2000. Classification of Cyber Crimes</w:t>
            </w:r>
            <w:r w:rsidRPr="00FE0EC1">
              <w:rPr>
                <w:rFonts w:ascii="Calibri" w:eastAsia="CIDFont+F2" w:hAnsi="Calibri" w:cs="Calibri"/>
                <w:sz w:val="26"/>
                <w:szCs w:val="26"/>
              </w:rPr>
              <w:t xml:space="preserve">: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Hacking and Malicious Code (Viruses, Time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Bombs, Trojans, Malware, DOS, DDOS, Web Defacement, Phishing, Cloning), Financial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Frauds and Social Engineering Attacks, Malware and Ransomware Attacks, Zero-Day and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Zero-Click Attacks, Cyber Stalking, Cyber Bullying, and Cyber Pornography, Child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Pornography, Cyber Laundering, Online Betting and Games, Cyber Terrorism. Digital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Forensics.</w:t>
            </w:r>
          </w:p>
          <w:p w:rsidR="00744C07" w:rsidRPr="00FE0EC1" w:rsidRDefault="00C81370" w:rsidP="00FE0EC1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2" w:hAnsi="Calibri" w:cs="Calibri"/>
                <w:sz w:val="26"/>
                <w:szCs w:val="26"/>
              </w:rPr>
              <w:t xml:space="preserve">Cyber Laws: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Overview of IT Act 2000, Important Provisions, Reporting Cyber </w:t>
            </w:r>
            <w:proofErr w:type="spellStart"/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Crime</w:t>
            </w:r>
            <w:proofErr w:type="gramStart"/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,Investigation</w:t>
            </w:r>
            <w:proofErr w:type="spellEnd"/>
            <w:proofErr w:type="gramEnd"/>
            <w:r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Techniques, Remedial Measures.</w:t>
            </w:r>
          </w:p>
        </w:tc>
      </w:tr>
      <w:tr w:rsidR="00744C07" w:rsidRPr="001C5FB4" w:rsidTr="00EC5F24">
        <w:trPr>
          <w:trHeight w:val="1520"/>
        </w:trPr>
        <w:tc>
          <w:tcPr>
            <w:tcW w:w="1800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October</w:t>
            </w:r>
          </w:p>
        </w:tc>
        <w:tc>
          <w:tcPr>
            <w:tcW w:w="7470" w:type="dxa"/>
          </w:tcPr>
          <w:p w:rsidR="00744C07" w:rsidRPr="00FE0EC1" w:rsidRDefault="00C81370" w:rsidP="00FE0EC1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2" w:hAnsi="Calibri" w:cs="Calibri"/>
                <w:sz w:val="26"/>
                <w:szCs w:val="26"/>
              </w:rPr>
              <w:t xml:space="preserve">Social Media Overview and Security: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Introduction to Social Networks/Media, Types of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Social Media, Platforms of Social Media, Trends in Social Media (Deep Fakes, Sock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puppets), Social Media Monitoring and Privacy: Hashtags, viral content, social media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marketing, Managing Social Media Privacy &amp; Security settings, Flagging and reporting of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inappropriate content, Legal aspects of posting inappropriate content</w:t>
            </w:r>
          </w:p>
        </w:tc>
      </w:tr>
      <w:tr w:rsidR="00744C07" w:rsidRPr="001C5FB4" w:rsidTr="00EC5F24">
        <w:trPr>
          <w:trHeight w:val="800"/>
        </w:trPr>
        <w:tc>
          <w:tcPr>
            <w:tcW w:w="1800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0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November </w:t>
            </w:r>
          </w:p>
        </w:tc>
        <w:tc>
          <w:tcPr>
            <w:tcW w:w="7470" w:type="dxa"/>
          </w:tcPr>
          <w:p w:rsidR="00C81370" w:rsidRPr="00FE0EC1" w:rsidRDefault="00C81370" w:rsidP="00C81370">
            <w:pPr>
              <w:autoSpaceDE w:val="0"/>
              <w:autoSpaceDN w:val="0"/>
              <w:adjustRightInd w:val="0"/>
              <w:rPr>
                <w:rFonts w:ascii="Calibri" w:eastAsia="CIDFont+F4" w:hAnsi="Calibri" w:cs="Calibri"/>
                <w:sz w:val="26"/>
                <w:szCs w:val="26"/>
              </w:rPr>
            </w:pPr>
            <w:r w:rsidRPr="00FE0EC1">
              <w:rPr>
                <w:rFonts w:ascii="Calibri" w:eastAsia="CIDFont+F2" w:hAnsi="Calibri" w:cs="Calibri"/>
                <w:sz w:val="26"/>
                <w:szCs w:val="26"/>
              </w:rPr>
              <w:t xml:space="preserve">Overview of Artificial Intelligence (AI):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Meaning and Definition of AI, Emergence of AI in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Modern IT world, Need and Significance of AI, Challenges and Opportunities of AI, AI in</w:t>
            </w:r>
            <w:r w:rsidR="00FE0EC1"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</w:t>
            </w: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Commerce, AI in Cyber Security, </w:t>
            </w:r>
            <w:proofErr w:type="spellStart"/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ChatBots</w:t>
            </w:r>
            <w:proofErr w:type="spellEnd"/>
            <w:r w:rsidRPr="00FE0EC1">
              <w:rPr>
                <w:rFonts w:ascii="Calibri" w:eastAsia="CIDFont+F4" w:hAnsi="Calibri" w:cs="Calibri"/>
                <w:sz w:val="26"/>
                <w:szCs w:val="26"/>
              </w:rPr>
              <w:t xml:space="preserve"> and Virtual Assistants: Boon or Bane, Artificial</w:t>
            </w:r>
          </w:p>
          <w:p w:rsidR="00744C07" w:rsidRPr="00FE0EC1" w:rsidRDefault="00C81370" w:rsidP="00C81370">
            <w:pPr>
              <w:rPr>
                <w:rFonts w:ascii="Calibri" w:eastAsia="Aptos" w:hAnsi="Calibri" w:cs="Calibri"/>
                <w:sz w:val="26"/>
                <w:szCs w:val="26"/>
              </w:rPr>
            </w:pPr>
            <w:r w:rsidRPr="00FE0EC1">
              <w:rPr>
                <w:rFonts w:ascii="Calibri" w:eastAsia="CIDFont+F4" w:hAnsi="Calibri" w:cs="Calibri"/>
                <w:sz w:val="26"/>
                <w:szCs w:val="26"/>
              </w:rPr>
              <w:t>Intelligence vs. Ethics and Morality.</w:t>
            </w:r>
          </w:p>
        </w:tc>
      </w:tr>
    </w:tbl>
    <w:p w:rsidR="00E77334" w:rsidRPr="001C5FB4" w:rsidRDefault="00E77334" w:rsidP="00FE0EC1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  <w:t xml:space="preserve">Lesson plan </w:t>
      </w:r>
      <w:r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  <w:t>2025-26</w:t>
      </w:r>
    </w:p>
    <w:p w:rsidR="00744C07" w:rsidRPr="001C5FB4" w:rsidRDefault="00744C07" w:rsidP="00744C07">
      <w:pPr>
        <w:spacing w:after="0" w:line="278" w:lineRule="auto"/>
        <w:jc w:val="center"/>
        <w:rPr>
          <w:rFonts w:ascii="Calibri" w:eastAsia="Times New Roman" w:hAnsi="Calibri" w:cs="Calibri"/>
          <w:kern w:val="2"/>
          <w:sz w:val="44"/>
          <w:szCs w:val="36"/>
          <w:lang w:val="en-GB"/>
          <w14:ligatures w14:val="standardContextual"/>
        </w:rPr>
      </w:pPr>
    </w:p>
    <w:p w:rsidR="00744C07" w:rsidRPr="001C5FB4" w:rsidRDefault="00744C07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Name: </w:t>
      </w:r>
      <w:proofErr w:type="spellStart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Dr.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Gaurav </w:t>
      </w:r>
      <w:proofErr w:type="spellStart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Sisodia</w:t>
      </w:r>
      <w:proofErr w:type="spellEnd"/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</w:t>
      </w:r>
    </w:p>
    <w:p w:rsidR="00744C07" w:rsidRPr="001C5FB4" w:rsidRDefault="00E77334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Class: </w:t>
      </w:r>
      <w:proofErr w:type="spellStart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MCom</w:t>
      </w:r>
      <w:proofErr w:type="spellEnd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>Ist</w:t>
      </w:r>
      <w:proofErr w:type="spellEnd"/>
      <w:proofErr w:type="gramEnd"/>
      <w:r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 </w:t>
      </w:r>
      <w:r w:rsidR="00744C07"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Semester </w:t>
      </w:r>
    </w:p>
    <w:p w:rsidR="00744C07" w:rsidRPr="001C5FB4" w:rsidRDefault="00744C07" w:rsidP="00744C07">
      <w:pPr>
        <w:spacing w:after="0" w:line="278" w:lineRule="auto"/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</w:pPr>
      <w:r w:rsidRPr="001C5FB4">
        <w:rPr>
          <w:rFonts w:ascii="Calibri" w:eastAsia="Times New Roman" w:hAnsi="Calibri" w:cs="Calibri"/>
          <w:kern w:val="2"/>
          <w:sz w:val="36"/>
          <w:szCs w:val="36"/>
          <w:lang w:val="en-GB"/>
          <w14:ligatures w14:val="standardContextual"/>
        </w:rPr>
        <w:t xml:space="preserve">Subject: </w:t>
      </w:r>
      <w:r w:rsidRPr="001C5FB4">
        <w:rPr>
          <w:rFonts w:ascii="Calibri" w:eastAsia="Times New Roman" w:hAnsi="Calibri" w:cs="Calibri"/>
          <w:kern w:val="2"/>
          <w:sz w:val="36"/>
          <w:szCs w:val="21"/>
          <w:lang w:val="en-GB"/>
          <w14:ligatures w14:val="standardContextual"/>
        </w:rPr>
        <w:t xml:space="preserve"> Corporate Tax</w:t>
      </w:r>
    </w:p>
    <w:p w:rsidR="00744C07" w:rsidRPr="001C5FB4" w:rsidRDefault="00744C07" w:rsidP="00744C07">
      <w:pPr>
        <w:spacing w:after="0" w:line="278" w:lineRule="auto"/>
        <w:rPr>
          <w:rFonts w:ascii="Aptos" w:eastAsia="Times New Roman" w:hAnsi="Aptos" w:cs="Mangal"/>
          <w:kern w:val="2"/>
          <w:sz w:val="36"/>
          <w:szCs w:val="36"/>
          <w:lang w:val="en-GB"/>
          <w14:ligatures w14:val="standardContextual"/>
        </w:rPr>
      </w:pPr>
    </w:p>
    <w:tbl>
      <w:tblPr>
        <w:tblStyle w:val="TableGrid1"/>
        <w:tblW w:w="9819" w:type="dxa"/>
        <w:tblInd w:w="-545" w:type="dxa"/>
        <w:tblLook w:val="04A0" w:firstRow="1" w:lastRow="0" w:firstColumn="1" w:lastColumn="0" w:noHBand="0" w:noVBand="1"/>
      </w:tblPr>
      <w:tblGrid>
        <w:gridCol w:w="2291"/>
        <w:gridCol w:w="7528"/>
      </w:tblGrid>
      <w:tr w:rsidR="00744C07" w:rsidRPr="001C5FB4" w:rsidTr="00E223FC">
        <w:trPr>
          <w:trHeight w:val="387"/>
        </w:trPr>
        <w:tc>
          <w:tcPr>
            <w:tcW w:w="2291" w:type="dxa"/>
          </w:tcPr>
          <w:p w:rsidR="00744C07" w:rsidRPr="001C5FB4" w:rsidRDefault="00744C07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 w:rsidRPr="001C5FB4">
              <w:rPr>
                <w:rFonts w:ascii="Calibri" w:eastAsia="Aptos" w:hAnsi="Calibri" w:cs="Calibri"/>
                <w:sz w:val="32"/>
                <w:szCs w:val="36"/>
              </w:rPr>
              <w:t>MONTH</w:t>
            </w:r>
          </w:p>
        </w:tc>
        <w:tc>
          <w:tcPr>
            <w:tcW w:w="7528" w:type="dxa"/>
          </w:tcPr>
          <w:p w:rsidR="00744C07" w:rsidRPr="001C5FB4" w:rsidRDefault="00744C07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 w:rsidRPr="001C5FB4">
              <w:rPr>
                <w:rFonts w:ascii="Calibri" w:eastAsia="Aptos" w:hAnsi="Calibri" w:cs="Calibri"/>
                <w:sz w:val="32"/>
                <w:szCs w:val="36"/>
              </w:rPr>
              <w:t>TOPICS</w:t>
            </w:r>
          </w:p>
        </w:tc>
      </w:tr>
      <w:tr w:rsidR="00744C07" w:rsidRPr="001C5FB4" w:rsidTr="00E223FC">
        <w:trPr>
          <w:trHeight w:val="831"/>
        </w:trPr>
        <w:tc>
          <w:tcPr>
            <w:tcW w:w="2291" w:type="dxa"/>
          </w:tcPr>
          <w:p w:rsidR="00744C07" w:rsidRPr="001C5FB4" w:rsidRDefault="00744C07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>
              <w:rPr>
                <w:rFonts w:ascii="Calibri" w:eastAsia="Aptos" w:hAnsi="Calibri" w:cs="Calibri"/>
                <w:sz w:val="32"/>
                <w:szCs w:val="36"/>
              </w:rPr>
              <w:t>July</w:t>
            </w:r>
          </w:p>
        </w:tc>
        <w:tc>
          <w:tcPr>
            <w:tcW w:w="7528" w:type="dxa"/>
          </w:tcPr>
          <w:p w:rsidR="00744C07" w:rsidRPr="001C5FB4" w:rsidRDefault="00744C07" w:rsidP="00EC5F24">
            <w:pPr>
              <w:rPr>
                <w:rFonts w:ascii="Calibri" w:eastAsia="Aptos" w:hAnsi="Calibri" w:cs="Calibri"/>
                <w:sz w:val="32"/>
                <w:szCs w:val="36"/>
              </w:rPr>
            </w:pPr>
            <w:r w:rsidRPr="001C5FB4">
              <w:rPr>
                <w:rFonts w:ascii="Calibri" w:eastAsia="Aptos" w:hAnsi="Calibri" w:cs="Calibri"/>
                <w:sz w:val="28"/>
                <w:szCs w:val="24"/>
              </w:rPr>
              <w:t>Meaning of company; Types of companies; Residential status and incidence of tax on companies.</w:t>
            </w:r>
          </w:p>
        </w:tc>
      </w:tr>
      <w:tr w:rsidR="00744C07" w:rsidRPr="001C5FB4" w:rsidTr="00E223FC">
        <w:trPr>
          <w:trHeight w:val="527"/>
        </w:trPr>
        <w:tc>
          <w:tcPr>
            <w:tcW w:w="2291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August</w:t>
            </w:r>
          </w:p>
        </w:tc>
        <w:tc>
          <w:tcPr>
            <w:tcW w:w="7528" w:type="dxa"/>
          </w:tcPr>
          <w:p w:rsidR="00744C07" w:rsidRPr="001C5FB4" w:rsidRDefault="00744C07" w:rsidP="00EC5F24">
            <w:pPr>
              <w:autoSpaceDE w:val="0"/>
              <w:autoSpaceDN w:val="0"/>
              <w:adjustRightInd w:val="0"/>
              <w:rPr>
                <w:rFonts w:ascii="Calibri" w:eastAsia="Aptos" w:hAnsi="Calibri" w:cs="Calibri"/>
                <w:sz w:val="28"/>
                <w:szCs w:val="24"/>
              </w:rPr>
            </w:pPr>
            <w:r w:rsidRPr="001C5FB4">
              <w:rPr>
                <w:rFonts w:ascii="Calibri" w:eastAsia="Aptos" w:hAnsi="Calibri" w:cs="Calibri"/>
                <w:sz w:val="28"/>
                <w:szCs w:val="24"/>
              </w:rPr>
              <w:t>Computation of Income of company under various heads</w:t>
            </w:r>
            <w:r w:rsidR="00E223FC">
              <w:rPr>
                <w:rFonts w:ascii="Calibri" w:eastAsia="Aptos" w:hAnsi="Calibri" w:cs="Calibri"/>
                <w:sz w:val="28"/>
                <w:szCs w:val="24"/>
              </w:rPr>
              <w:t>. G</w:t>
            </w:r>
            <w:r w:rsidR="00E223FC" w:rsidRPr="001C5FB4">
              <w:rPr>
                <w:rFonts w:ascii="Calibri" w:eastAsia="Aptos" w:hAnsi="Calibri" w:cs="Calibri"/>
                <w:sz w:val="28"/>
                <w:szCs w:val="24"/>
              </w:rPr>
              <w:t>eneral provisions applicable to companies for computation of gross total income.</w:t>
            </w:r>
          </w:p>
        </w:tc>
      </w:tr>
      <w:tr w:rsidR="00744C07" w:rsidRPr="001C5FB4" w:rsidTr="00E223FC">
        <w:trPr>
          <w:trHeight w:val="786"/>
        </w:trPr>
        <w:tc>
          <w:tcPr>
            <w:tcW w:w="2291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September </w:t>
            </w:r>
          </w:p>
        </w:tc>
        <w:tc>
          <w:tcPr>
            <w:tcW w:w="7528" w:type="dxa"/>
          </w:tcPr>
          <w:p w:rsidR="00744C07" w:rsidRPr="001C5FB4" w:rsidRDefault="00E223FC" w:rsidP="00EC5F24">
            <w:pPr>
              <w:autoSpaceDE w:val="0"/>
              <w:autoSpaceDN w:val="0"/>
              <w:adjustRightInd w:val="0"/>
              <w:rPr>
                <w:rFonts w:ascii="Calibri" w:eastAsia="Aptos" w:hAnsi="Calibri" w:cs="Calibri"/>
                <w:sz w:val="28"/>
                <w:szCs w:val="24"/>
              </w:rPr>
            </w:pPr>
            <w:r w:rsidRPr="001C5FB4">
              <w:rPr>
                <w:rFonts w:ascii="Calibri" w:eastAsia="Aptos" w:hAnsi="Calibri" w:cs="Calibri"/>
                <w:sz w:val="28"/>
                <w:szCs w:val="24"/>
              </w:rPr>
              <w:t>Deductions from gross total income as applicable to companies, computation of tax for various types of companies, Provisions of MAT; Assessment of Insurance Companies</w:t>
            </w:r>
          </w:p>
        </w:tc>
      </w:tr>
      <w:tr w:rsidR="00744C07" w:rsidRPr="001C5FB4" w:rsidTr="00E223FC">
        <w:trPr>
          <w:trHeight w:val="1073"/>
        </w:trPr>
        <w:tc>
          <w:tcPr>
            <w:tcW w:w="2291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>October</w:t>
            </w:r>
          </w:p>
        </w:tc>
        <w:tc>
          <w:tcPr>
            <w:tcW w:w="7528" w:type="dxa"/>
          </w:tcPr>
          <w:p w:rsidR="00744C07" w:rsidRPr="001C5FB4" w:rsidRDefault="00E223FC" w:rsidP="00EC5F24">
            <w:pPr>
              <w:autoSpaceDE w:val="0"/>
              <w:autoSpaceDN w:val="0"/>
              <w:adjustRightInd w:val="0"/>
              <w:rPr>
                <w:rFonts w:ascii="Calibri" w:eastAsia="Aptos" w:hAnsi="Calibri" w:cs="Calibri"/>
                <w:sz w:val="28"/>
                <w:szCs w:val="24"/>
              </w:rPr>
            </w:pPr>
            <w:r w:rsidRPr="001C5FB4">
              <w:rPr>
                <w:rFonts w:ascii="Calibri" w:eastAsia="Aptos" w:hAnsi="Calibri" w:cs="Calibri"/>
                <w:sz w:val="28"/>
                <w:szCs w:val="24"/>
              </w:rPr>
              <w:t>Assessment of Charitable / Educational Institutions/ Religious Trust and Political Parties; Assessment of Non- Residents and advance ruling for non-residents.</w:t>
            </w:r>
          </w:p>
        </w:tc>
      </w:tr>
      <w:tr w:rsidR="00744C07" w:rsidRPr="001C5FB4" w:rsidTr="00E223FC">
        <w:trPr>
          <w:trHeight w:val="1153"/>
        </w:trPr>
        <w:tc>
          <w:tcPr>
            <w:tcW w:w="2291" w:type="dxa"/>
          </w:tcPr>
          <w:p w:rsidR="00744C07" w:rsidRPr="001C5FB4" w:rsidRDefault="00744C07" w:rsidP="00EC5F24">
            <w:pPr>
              <w:rPr>
                <w:rFonts w:ascii="Aptos" w:eastAsia="Aptos" w:hAnsi="Aptos" w:cs="Mangal"/>
                <w:sz w:val="36"/>
                <w:szCs w:val="36"/>
              </w:rPr>
            </w:pPr>
            <w:r w:rsidRPr="001C5FB4">
              <w:rPr>
                <w:rFonts w:ascii="Aptos" w:eastAsia="Aptos" w:hAnsi="Aptos" w:cs="Mangal"/>
                <w:sz w:val="30"/>
                <w:szCs w:val="36"/>
              </w:rPr>
              <w:t xml:space="preserve">November </w:t>
            </w:r>
          </w:p>
        </w:tc>
        <w:tc>
          <w:tcPr>
            <w:tcW w:w="7528" w:type="dxa"/>
          </w:tcPr>
          <w:p w:rsidR="00744C07" w:rsidRPr="001C5FB4" w:rsidRDefault="00E223FC" w:rsidP="00EC5F24">
            <w:pPr>
              <w:autoSpaceDE w:val="0"/>
              <w:autoSpaceDN w:val="0"/>
              <w:adjustRightInd w:val="0"/>
              <w:rPr>
                <w:rFonts w:ascii="Calibri" w:eastAsia="Aptos" w:hAnsi="Calibri" w:cs="Calibri"/>
                <w:sz w:val="28"/>
                <w:szCs w:val="24"/>
              </w:rPr>
            </w:pPr>
            <w:r w:rsidRPr="001C5FB4">
              <w:rPr>
                <w:rFonts w:ascii="Calibri" w:eastAsia="Aptos" w:hAnsi="Calibri" w:cs="Calibri"/>
                <w:sz w:val="28"/>
                <w:szCs w:val="24"/>
              </w:rPr>
              <w:t>Assessment of cooperative societies, Assessment of discontinued business, Double taxation relief.</w:t>
            </w:r>
          </w:p>
        </w:tc>
      </w:tr>
    </w:tbl>
    <w:p w:rsidR="00744C07" w:rsidRPr="001C5FB4" w:rsidRDefault="00744C07" w:rsidP="00744C07">
      <w:pPr>
        <w:spacing w:line="278" w:lineRule="auto"/>
        <w:rPr>
          <w:rFonts w:ascii="Aptos" w:eastAsia="Times New Roman" w:hAnsi="Aptos" w:cs="Mangal"/>
          <w:kern w:val="2"/>
          <w:sz w:val="24"/>
          <w:szCs w:val="21"/>
          <w:lang w:val="en-GB" w:bidi="hi-IN"/>
          <w14:ligatures w14:val="standardContextual"/>
        </w:rPr>
      </w:pPr>
    </w:p>
    <w:p w:rsidR="00744C07" w:rsidRPr="001C5FB4" w:rsidRDefault="00744C07" w:rsidP="00744C07">
      <w:pPr>
        <w:spacing w:line="278" w:lineRule="auto"/>
        <w:rPr>
          <w:rFonts w:ascii="Aptos" w:eastAsia="Times New Roman" w:hAnsi="Aptos" w:cs="Mangal"/>
          <w:kern w:val="2"/>
          <w:sz w:val="24"/>
          <w:szCs w:val="21"/>
          <w:lang w:val="en-GB" w:bidi="hi-IN"/>
          <w14:ligatures w14:val="standardContextual"/>
        </w:rPr>
      </w:pPr>
    </w:p>
    <w:p w:rsidR="00744C07" w:rsidRDefault="00744C07" w:rsidP="00744C07"/>
    <w:p w:rsidR="00744C07" w:rsidRDefault="00744C07" w:rsidP="00744C07"/>
    <w:p w:rsidR="00744C07" w:rsidRDefault="00744C07" w:rsidP="00744C07"/>
    <w:p w:rsidR="00744C07" w:rsidRDefault="00744C07" w:rsidP="00744C07"/>
    <w:p w:rsidR="00744C07" w:rsidRDefault="00744C07" w:rsidP="00744C07"/>
    <w:p w:rsidR="00744C07" w:rsidRDefault="00744C07" w:rsidP="00744C07"/>
    <w:p w:rsidR="00744C07" w:rsidRDefault="00744C07" w:rsidP="00744C07"/>
    <w:p w:rsidR="00744C07" w:rsidRDefault="00744C07" w:rsidP="00744C07">
      <w:bookmarkStart w:id="0" w:name="_GoBack"/>
      <w:bookmarkEnd w:id="0"/>
    </w:p>
    <w:p w:rsidR="00730073" w:rsidRDefault="00730073"/>
    <w:sectPr w:rsidR="00730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07"/>
    <w:rsid w:val="00473064"/>
    <w:rsid w:val="00730073"/>
    <w:rsid w:val="00744C07"/>
    <w:rsid w:val="00830484"/>
    <w:rsid w:val="00BB484D"/>
    <w:rsid w:val="00C22DB9"/>
    <w:rsid w:val="00C81370"/>
    <w:rsid w:val="00E223FC"/>
    <w:rsid w:val="00E77334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FE10F-486A-4A34-8BA2-6E289F1E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44C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4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2025-10-12T11:11:00Z</dcterms:created>
  <dcterms:modified xsi:type="dcterms:W3CDTF">2025-10-12T14:35:00Z</dcterms:modified>
</cp:coreProperties>
</file>